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CE" w:rsidRPr="006162CE" w:rsidRDefault="006162CE" w:rsidP="006162C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6162CE" w:rsidRPr="006162CE" w:rsidRDefault="006162CE" w:rsidP="006162C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 СЕЛЬСОВЕТА</w:t>
      </w:r>
    </w:p>
    <w:p w:rsidR="006162CE" w:rsidRPr="006162CE" w:rsidRDefault="006162CE" w:rsidP="006162C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ЧИСТООЗЕРНОГО РАЙОНА</w:t>
      </w:r>
    </w:p>
    <w:p w:rsidR="006162CE" w:rsidRPr="006162CE" w:rsidRDefault="006162CE" w:rsidP="006162C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162CE" w:rsidRPr="006162CE" w:rsidRDefault="006162CE" w:rsidP="006162C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Восемнадцатой сессии</w:t>
      </w:r>
    </w:p>
    <w:p w:rsidR="006162CE" w:rsidRPr="006162CE" w:rsidRDefault="006162CE" w:rsidP="006162C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6162CE" w:rsidRPr="006162CE" w:rsidRDefault="006162CE" w:rsidP="006162CE">
      <w:pPr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 от 27.12.2021г                                                                                                                 № 52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62CE" w:rsidRPr="006162CE" w:rsidRDefault="006162CE" w:rsidP="006162C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Об утверждении бюджета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на 2022 год и плановый период 2023 и 2024 годов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1. Основные характеристики бюджета муниципального образования  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на 2022 год и на плановый период 2023 и 2024 года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(далее – местный бюджет) на 2022 год: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1) прогнозируемый общий объем доходов местного бюджета в сумме 10466600,00 рублей, в том числе объем безвозмездных поступлений в сумме 9249900,00 рублей, из них объем межбюджетных трансфертов, получаемых из других бюджетов бюджетной системы Российской Федерации, в сумме 8507900,00 рублей, в том числе объем субсидий, субвенций и иных межбюджетных трансфертов, имеющих целевое назначение, в сумме 6487600,00 рублей. 2) общий объем расходов местного бюджета в сумме 10466600,00рублей3) дефицит (профицит) местного бюджета в сумме 0,00 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2. Утвердить основные характеристики бюджета муниципального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на плановый период 2023 и 2024 годов: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1) прогнозируемый общий объем доходов местного бюджета на 2023 год в сумме 3981700,00 рублей, в том числе объем безвозмездных поступлений в сумме 2746100,00 рублей, из них объем межбюджетных трансфертов, получаемых из других бюджетов бюджетной системы Российской Федерации, в сумме 2746100,00 рублей, в том числе объем субсидий, субвенций и иных межбюджетных </w:t>
      </w: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>трансфертов, имеющих целевое назначение, в сумме          130600,00рублей., и на 2024_год в сумме 3563800,00 рублей, в том числе объем безвозмездных поступлений в сумме 2292800,00 рублей, из них объем межбюджетных трансфертов, получаемых из других бюджетов бюджетной системы Российской Федерации, в сумме 2292800,00 рублей, в том числе объем субсидий, субвенций и иных межбюджетных трансфертов, имеющих целевое назначение, в сумме 134800,00 рублей.;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2) общий объем расходов местного бюджета на 2023 год в сумме 3981700,00 рублей., в том числе условно утвержденные расходы в сумме 96280,00 рублей, и на 2024 год в сумме 3563800,</w:t>
      </w:r>
      <w:proofErr w:type="gramStart"/>
      <w:r w:rsidRPr="006162CE">
        <w:rPr>
          <w:rFonts w:ascii="Times New Roman" w:hAnsi="Times New Roman"/>
          <w:color w:val="000000"/>
          <w:sz w:val="28"/>
          <w:szCs w:val="28"/>
        </w:rPr>
        <w:t>0  рублей</w:t>
      </w:r>
      <w:proofErr w:type="gramEnd"/>
      <w:r w:rsidRPr="006162CE">
        <w:rPr>
          <w:rFonts w:ascii="Times New Roman" w:hAnsi="Times New Roman"/>
          <w:color w:val="000000"/>
          <w:sz w:val="28"/>
          <w:szCs w:val="28"/>
        </w:rPr>
        <w:t>., в том числе условно утвержденные расходы в сумме 171450,00рублей.;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3) дефицит (профицит) местного бюджета на 2023год в сумме 0,00 рублей, дефицит (профицит) местного бюджета на 2024 год в сумме 0,00 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 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Статья 3. Бюджетные ассигнования местного бюджета на 2022 год и на плановый период 2023 и 2024 годов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1. Утвердить в пределах общего объема расходов, установленного </w:t>
      </w:r>
      <w:hyperlink r:id="rId5" w:anchor="P12" w:history="1">
        <w:r w:rsidRPr="006162C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статьей 1</w:t>
        </w:r>
      </w:hyperlink>
      <w:r w:rsidRPr="006162CE">
        <w:rPr>
          <w:rFonts w:ascii="Times New Roman" w:hAnsi="Times New Roman"/>
          <w:color w:val="000000"/>
          <w:sz w:val="28"/>
          <w:szCs w:val="28"/>
        </w:rPr>
        <w:t xml:space="preserve"> настоящего Решения, распределение бюджетных ассигнований: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к настоящему Решению;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приложению 3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 xml:space="preserve">2. Утвердить ведомственную структуру расходов бюджета муниципального образования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на 2022 год и плановый период 2023 и 2024 годов согласно приложению 4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на 2022 год в сумме 1000 руб., в плановом периоде 2023 года в сумме 0,00 рублей, 2024года в сумме 0,00 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2022 год в сумме 250000,00 рублей, на 2023 год в сумме 0,00 рублей и на 2024 год в сумме 0,00рублей.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области, направляемых на исполнение публичных нормативных обязательств на 2022 год и плановый период 2023 и 2024 годов согласно приложению 5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области, и в пределах бюджетных ассигнований, предусмотренных ведомственной структурой расходов местного бюджета на 2022 год и на 2023-2024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Перечень юридических лиц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6162CE">
        <w:rPr>
          <w:rFonts w:ascii="Times New Roman" w:hAnsi="Times New Roman"/>
          <w:color w:val="000000"/>
          <w:sz w:val="28"/>
          <w:szCs w:val="28"/>
        </w:rPr>
        <w:t>не являющихся муниципальным унитарным предприятием отсутствует, т. к. предоставление бюджетных инвестиций им в 2022г согласно приложению 4 не предусмотрено.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1.Установить, что муниципальные учреждения, органы местного самоуправления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а) о предоставлении услуг связи,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>б) услуг проживания в гостиницах;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в) о подписке на печатные издания и об их приобретении;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г) об обучении на курсах повышения квалификации;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ж) страхования;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и) подлежащим оплате за счет средств, полученных от иной приносящей доход деятельности;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л) об оплате нотариальных действий и иных услуг, оказываемых при осуществлении нотариальных действий;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н) аренда;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м) по распоряжению администрации муниципального образования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5. Иные межбюджетные трансферты, предоставляемые из бюджета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1.Утвердить объем иных межбюджетных трансфертов, предоставляемы из бюджета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</w:t>
      </w: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>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в бюджет других бюджетов бюджетной системы Российской Федерации на 2022 год в сумме 0,00 рублей, на 2023 год в сумме 2023 рублей, на 2024год в сумме 0,00 рублей, согласно Приложению 8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6. Дорожный фонд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6162CE">
        <w:rPr>
          <w:rFonts w:ascii="Times New Roman" w:hAnsi="Times New Roman"/>
          <w:color w:val="000000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1) на 2022 год в сумме 1876400,00 рублей;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2) на 2023 год в сумме 641900,00 рублей, на 2024 год в сумме 684500,00 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Статья 7. Источники финансирования дефицита бюджета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Установить источники финансирования дефицита местного бюджета на 2022 год и плановый период 2023 и 2024 годов согласно Приложению 7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8. Муниципальные внутренние заимствования 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на 2022 год и плановый период 2023 и 2024 годов согласно Приложению 8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2.Установить, что в 2022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6" w:history="1">
        <w:r w:rsidRPr="006162C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Программой</w:t>
        </w:r>
      </w:hyperlink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муниципальных внутренних заимствований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на 2023 год, с последующим внесением соответствующих изменений в Программу муниципальных внутренних заимствований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 на 2024 год.</w:t>
      </w:r>
    </w:p>
    <w:p w:rsidR="006162CE" w:rsidRPr="006162CE" w:rsidRDefault="006162CE" w:rsidP="006162CE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право администрации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 w:rsidRPr="006162CE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пунктом 2 статьи 93.6</w:t>
        </w:r>
      </w:hyperlink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 Бюджетного кодекса Российской Федерации.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9. Предоставление муниципальных гарантий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в валюте Российской Федерации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Утвердить программу муниципальных </w:t>
      </w:r>
      <w:proofErr w:type="gramStart"/>
      <w:r w:rsidRPr="006162CE">
        <w:rPr>
          <w:rFonts w:ascii="Times New Roman" w:hAnsi="Times New Roman"/>
          <w:color w:val="000000"/>
          <w:sz w:val="28"/>
          <w:szCs w:val="28"/>
        </w:rPr>
        <w:t xml:space="preserve">гарантий 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proofErr w:type="gram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в валюте Российской Федерации на 2022 год и плановый период 2023 и 2024 годов согласно Приложению 9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10. Муниципальные программы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1.Утвердить перечень муниципальных программ, предусмотренных к финансированию из местного бюджета в 2022 году и плановом периоде 2023 и 24 годах согласно Приложению 10 к настоящему Решению.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Муниципальные программы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области, не включенные в перечень, не подлежат финансированию в 2023-2024 годах.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11. Возврат остатков субсидий, предоставленных из местного бюджета муниципальным учреждениям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</w:p>
    <w:p w:rsidR="006162CE" w:rsidRPr="006162CE" w:rsidRDefault="006162CE" w:rsidP="006162CE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1. 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области, муниципальным автономным учреждениям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Статья 12. Муниципальный внутренний долг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и расходы на его обслуживание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 xml:space="preserve">1. Установить верхний предел муниципального внутреннего долга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 xml:space="preserve">на 1 января 2023 года в сумме 0,00 рублей, в том числе верхний предел долга по муниципальным гарантиям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 xml:space="preserve">в сумме 0,00 рублей, на 1 января 2024_года в сумме 0,00 рублей, в том числе верхний предел долга по муниципальным гарантиям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 xml:space="preserve">в сумме 0,00 рублей, и на 1 января 2025 года в сумме 0,00 рублей, в том числе верхний предел долга по муниципальным гарантиям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162CE">
        <w:rPr>
          <w:rFonts w:ascii="Times New Roman" w:hAnsi="Times New Roman"/>
          <w:color w:val="000000"/>
          <w:sz w:val="28"/>
          <w:szCs w:val="28"/>
        </w:rPr>
        <w:t>в сумме 0,00 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 2.Установить предельный объем муниципального долга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на 2022 год в сумме 0,00 рублей, на 2023 год в сумме 0,00 рублей и на 2024 год в сумме 0,00 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на 2022 год в сумме 0,</w:t>
      </w:r>
      <w:proofErr w:type="gramStart"/>
      <w:r w:rsidRPr="006162CE">
        <w:rPr>
          <w:rFonts w:ascii="Times New Roman" w:hAnsi="Times New Roman"/>
          <w:color w:val="000000"/>
          <w:sz w:val="28"/>
          <w:szCs w:val="28"/>
        </w:rPr>
        <w:t>00  рублей</w:t>
      </w:r>
      <w:proofErr w:type="gramEnd"/>
      <w:r w:rsidRPr="006162CE">
        <w:rPr>
          <w:rFonts w:ascii="Times New Roman" w:hAnsi="Times New Roman"/>
          <w:color w:val="000000"/>
          <w:sz w:val="28"/>
          <w:szCs w:val="28"/>
        </w:rPr>
        <w:t>, на 2023 год в сумме 0,00 рублей и на 2024 год в сумме 0,00рублей.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Статья 14. Особенности исполнения местного бюджета в 2022 году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5) изменение бюджетных ассигнований в части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</w:t>
      </w: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>юридических лиц, имеющих целевое назначение, местному бюджету сверх объемов, утвержденных настоящим решением;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расходного обязательства из областного (районного) бюджета;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color w:val="000000"/>
          <w:sz w:val="28"/>
          <w:szCs w:val="28"/>
        </w:rPr>
        <w:t xml:space="preserve">по погашению просроченной кредиторской задолженности главного распорядителя </w:t>
      </w:r>
      <w:r w:rsidRPr="006162CE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местного бюджета и (или) находящихся в его ведении муниципальных учреждений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области.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Статья 15. Вступление в силу настоящего Решения</w:t>
      </w:r>
    </w:p>
    <w:p w:rsidR="006162CE" w:rsidRPr="006162CE" w:rsidRDefault="006162CE" w:rsidP="006162C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порядке.</w:t>
      </w: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Чистоозерного района Новосибирской области                                                      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С.Е.Бобров</w:t>
      </w:r>
      <w:proofErr w:type="spellEnd"/>
    </w:p>
    <w:p w:rsidR="006162CE" w:rsidRPr="006162CE" w:rsidRDefault="006162CE" w:rsidP="006162C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62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6162CE" w:rsidRDefault="006162CE" w:rsidP="006162C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Чистоозерного района </w:t>
      </w: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162C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Н.В.Ефимович</w:t>
      </w:r>
      <w:proofErr w:type="spellEnd"/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162C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162CE" w:rsidRPr="006162CE" w:rsidRDefault="006162CE" w:rsidP="006162CE">
      <w:pPr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162CE" w:rsidRPr="006162CE">
          <w:pgSz w:w="11906" w:h="16838"/>
          <w:pgMar w:top="567" w:right="567" w:bottom="1134" w:left="1418" w:header="709" w:footer="709" w:gutter="0"/>
          <w:cols w:space="720"/>
        </w:sectPr>
      </w:pPr>
    </w:p>
    <w:p w:rsidR="006162CE" w:rsidRPr="006162CE" w:rsidRDefault="006162CE" w:rsidP="006162C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Default="006162CE" w:rsidP="006162C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6162CE" w:rsidRDefault="006162CE" w:rsidP="006162C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Default="006162CE" w:rsidP="006162C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6162CE" w:rsidRPr="006162CE" w:rsidRDefault="006162CE" w:rsidP="006162CE">
      <w:pPr>
        <w:tabs>
          <w:tab w:val="left" w:pos="8070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к решению сессии Совета депутатов </w:t>
      </w:r>
    </w:p>
    <w:p w:rsidR="006162CE" w:rsidRPr="006162CE" w:rsidRDefault="006162CE" w:rsidP="006162CE">
      <w:pPr>
        <w:tabs>
          <w:tab w:val="left" w:pos="8070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</w:t>
      </w:r>
    </w:p>
    <w:p w:rsidR="006162CE" w:rsidRPr="006162CE" w:rsidRDefault="006162CE" w:rsidP="006162CE">
      <w:pPr>
        <w:tabs>
          <w:tab w:val="left" w:pos="8070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6162CE" w:rsidRPr="006162CE" w:rsidRDefault="006162CE" w:rsidP="006162CE">
      <w:pPr>
        <w:tabs>
          <w:tab w:val="left" w:pos="8070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                "О бюджете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6162CE" w:rsidRPr="006162CE" w:rsidRDefault="006162CE" w:rsidP="006162CE">
      <w:pPr>
        <w:tabs>
          <w:tab w:val="left" w:pos="8070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Чистоозерного района Новосибирской </w:t>
      </w:r>
      <w:proofErr w:type="gramStart"/>
      <w:r w:rsidRPr="006162CE">
        <w:rPr>
          <w:rFonts w:ascii="Times New Roman" w:hAnsi="Times New Roman"/>
          <w:color w:val="000000"/>
          <w:sz w:val="28"/>
          <w:szCs w:val="28"/>
        </w:rPr>
        <w:t>области  на</w:t>
      </w:r>
      <w:proofErr w:type="gramEnd"/>
      <w:r w:rsidRPr="006162CE">
        <w:rPr>
          <w:rFonts w:ascii="Times New Roman" w:hAnsi="Times New Roman"/>
          <w:color w:val="000000"/>
          <w:sz w:val="28"/>
          <w:szCs w:val="28"/>
        </w:rPr>
        <w:t xml:space="preserve"> 2022 год                                                                                         </w:t>
      </w:r>
    </w:p>
    <w:p w:rsidR="006162CE" w:rsidRPr="006162CE" w:rsidRDefault="006162CE" w:rsidP="006162CE">
      <w:pPr>
        <w:tabs>
          <w:tab w:val="left" w:pos="8070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и плановый период 2023 и 2024 годов"</w:t>
      </w:r>
    </w:p>
    <w:p w:rsidR="006162CE" w:rsidRPr="006162CE" w:rsidRDefault="006162CE" w:rsidP="006162C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62CE">
        <w:rPr>
          <w:rFonts w:ascii="Times New Roman" w:hAnsi="Times New Roman"/>
          <w:b/>
          <w:color w:val="000000"/>
          <w:sz w:val="28"/>
          <w:szCs w:val="28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6162CE" w:rsidRPr="006162CE" w:rsidRDefault="006162CE" w:rsidP="006162C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62CE">
        <w:rPr>
          <w:rFonts w:ascii="Times New Roman" w:hAnsi="Times New Roman"/>
          <w:b/>
          <w:color w:val="000000"/>
          <w:sz w:val="28"/>
          <w:szCs w:val="28"/>
        </w:rPr>
        <w:t xml:space="preserve">Российской Федерации </w:t>
      </w:r>
    </w:p>
    <w:p w:rsidR="006162CE" w:rsidRPr="006162CE" w:rsidRDefault="006162CE" w:rsidP="006162C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162CE">
        <w:rPr>
          <w:rFonts w:ascii="Times New Roman" w:hAnsi="Times New Roman"/>
          <w:b/>
          <w:color w:val="000000"/>
          <w:sz w:val="28"/>
          <w:szCs w:val="28"/>
        </w:rPr>
        <w:t xml:space="preserve">на   2022 год и плановый период 2023 и 2024 </w:t>
      </w:r>
      <w:proofErr w:type="spellStart"/>
      <w:r w:rsidRPr="006162CE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Pr="006162C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162CE" w:rsidRPr="006162CE" w:rsidRDefault="006162CE" w:rsidP="006162C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62CE" w:rsidRPr="006162CE" w:rsidRDefault="006162CE" w:rsidP="006162CE">
      <w:pPr>
        <w:tabs>
          <w:tab w:val="left" w:pos="807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W w:w="14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6837"/>
      </w:tblGrid>
      <w:tr w:rsidR="006162CE" w:rsidRPr="006162CE" w:rsidTr="006162CE">
        <w:trPr>
          <w:trHeight w:val="249"/>
        </w:trPr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части задолженности и перерасчетов по отмененным налогам , сборам и иным обязательным платежам</w:t>
            </w:r>
          </w:p>
        </w:tc>
      </w:tr>
      <w:tr w:rsidR="006162CE" w:rsidRPr="006162CE" w:rsidTr="006162CE">
        <w:trPr>
          <w:trHeight w:val="24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</w:t>
            </w:r>
            <w:proofErr w:type="spellStart"/>
            <w:r w:rsidRPr="006162CE">
              <w:rPr>
                <w:rFonts w:ascii="Times New Roman" w:hAnsi="Times New Roman"/>
                <w:sz w:val="28"/>
                <w:szCs w:val="28"/>
              </w:rPr>
              <w:t>отменненному</w:t>
            </w:r>
            <w:proofErr w:type="spellEnd"/>
            <w:r w:rsidRPr="006162C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243"/>
        </w:trPr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162CE" w:rsidRPr="006162CE" w:rsidTr="006162CE">
        <w:trPr>
          <w:trHeight w:val="116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 от сдачи в аренду имущества, находящееся в оперативном управлении органов </w:t>
            </w:r>
            <w:proofErr w:type="gramStart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 сельских</w:t>
            </w:r>
            <w:proofErr w:type="gramEnd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243"/>
        </w:trPr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162CE" w:rsidRPr="006162CE" w:rsidTr="006162CE">
        <w:trPr>
          <w:trHeight w:val="24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эксплуатащией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имущества сельских поселений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243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399"/>
        </w:trPr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6162CE" w:rsidRPr="006162CE" w:rsidTr="006162CE">
        <w:trPr>
          <w:trHeight w:val="399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учреждений, находящихся в ведении органов управления 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412"/>
        </w:trPr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части прочих неналоговых доходов</w:t>
            </w:r>
          </w:p>
        </w:tc>
      </w:tr>
      <w:tr w:rsidR="006162CE" w:rsidRPr="006162CE" w:rsidTr="006162CE">
        <w:trPr>
          <w:trHeight w:val="399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поселений.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32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Невыясненные поступления, зачисляемые в </w:t>
            </w:r>
            <w:proofErr w:type="gramStart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бюджеты  сельских</w:t>
            </w:r>
            <w:proofErr w:type="gramEnd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поселений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321"/>
        </w:trPr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части безвозмездных поступлений от других бюджетов бюджетной системы </w:t>
            </w: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62CE" w:rsidRPr="006162CE" w:rsidTr="006162CE">
        <w:trPr>
          <w:trHeight w:val="70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428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102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</w:tr>
      <w:tr w:rsidR="006162CE" w:rsidRPr="006162CE" w:rsidTr="006162CE">
        <w:trPr>
          <w:trHeight w:val="1020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592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6162CE" w:rsidRPr="006162CE" w:rsidTr="006162CE">
        <w:trPr>
          <w:trHeight w:val="321"/>
        </w:trPr>
        <w:tc>
          <w:tcPr>
            <w:tcW w:w="1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части возврата остатков субсидий и субвенций прошлых лет</w:t>
            </w:r>
          </w:p>
        </w:tc>
      </w:tr>
      <w:tr w:rsidR="006162CE" w:rsidRPr="006162CE" w:rsidTr="006162CE">
        <w:trPr>
          <w:trHeight w:val="321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506730</wp:posOffset>
                      </wp:positionV>
                      <wp:extent cx="5848350" cy="9525"/>
                      <wp:effectExtent l="10160" t="11430" r="8890" b="76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C45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.95pt;margin-top:39.9pt;width:460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"/>
                  </w:pict>
                </mc:Fallback>
              </mc:AlternateContent>
            </w: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Перечисления из бюджетов сельских поселений (</w:t>
            </w:r>
            <w:proofErr w:type="gramStart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в бюджетов</w:t>
            </w:r>
            <w:proofErr w:type="gramEnd"/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поселений) для осуществления возврата (зачеты)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начисленные суммы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62CE" w:rsidRPr="006162CE" w:rsidRDefault="006162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104" w:type="dxa"/>
        <w:tblInd w:w="108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616"/>
        <w:gridCol w:w="746"/>
        <w:gridCol w:w="1686"/>
        <w:gridCol w:w="1985"/>
        <w:gridCol w:w="2551"/>
      </w:tblGrid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2" w:type="dxa"/>
            <w:gridSpan w:val="3"/>
            <w:vMerge w:val="restart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2</w:t>
            </w: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к решению сессии Совета депутатов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"О бюджете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на 2022 год и плановый период 2023 и 2024 годов"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67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22"/>
        </w:trPr>
        <w:tc>
          <w:tcPr>
            <w:tcW w:w="15104" w:type="dxa"/>
            <w:gridSpan w:val="8"/>
            <w:vMerge w:val="restart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6162CE" w:rsidRPr="006162CE" w:rsidTr="006162CE">
        <w:trPr>
          <w:trHeight w:val="322"/>
        </w:trPr>
        <w:tc>
          <w:tcPr>
            <w:tcW w:w="0" w:type="auto"/>
            <w:gridSpan w:val="8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405"/>
        </w:trPr>
        <w:tc>
          <w:tcPr>
            <w:tcW w:w="0" w:type="auto"/>
            <w:gridSpan w:val="8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6162CE" w:rsidRPr="006162CE" w:rsidTr="006162CE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на 2022 год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на 2023 год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на 2024 год</w:t>
            </w:r>
          </w:p>
        </w:tc>
      </w:tr>
      <w:tr w:rsidR="006162CE" w:rsidRPr="006162CE" w:rsidTr="006162CE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162CE" w:rsidRPr="006162CE" w:rsidTr="006162C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10466600,00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3 981 700,00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3 563 800,00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3 874 900,00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3 214 200,00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2 757 500,00</w:t>
            </w:r>
          </w:p>
        </w:tc>
      </w:tr>
      <w:tr w:rsidR="006162CE" w:rsidRPr="006162CE" w:rsidTr="006162CE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3 077 786,00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2 445 086,00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2 010 110,00</w:t>
            </w:r>
          </w:p>
        </w:tc>
      </w:tr>
      <w:tr w:rsidR="006162CE" w:rsidRPr="006162CE" w:rsidTr="006162CE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1 312 276,00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2 444 986,00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2 010 110,00</w:t>
            </w:r>
          </w:p>
        </w:tc>
      </w:tr>
      <w:tr w:rsidR="006162CE" w:rsidRPr="006162CE" w:rsidTr="006162CE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498 276,00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2 444 986,00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2 010 010,00</w:t>
            </w:r>
          </w:p>
        </w:tc>
      </w:tr>
      <w:tr w:rsidR="006162CE" w:rsidRPr="006162CE" w:rsidTr="006162CE">
        <w:trPr>
          <w:trHeight w:val="2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498 276,00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2 466 710,00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2 010 010,00</w:t>
            </w:r>
          </w:p>
        </w:tc>
      </w:tr>
      <w:tr w:rsidR="006162CE" w:rsidRPr="006162CE" w:rsidTr="006162CE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отдельных государственных полномочий по 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1 765 410,00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1 605 410,00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1 605 410,00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1 889 300,00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684 500,00</w:t>
            </w:r>
          </w:p>
        </w:tc>
      </w:tr>
      <w:tr w:rsidR="006162CE" w:rsidRPr="006162CE" w:rsidTr="006162CE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1 876 400,00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671 600,00</w:t>
            </w:r>
          </w:p>
        </w:tc>
      </w:tr>
      <w:tr w:rsidR="006162CE" w:rsidRPr="006162CE" w:rsidTr="006162CE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1 876 400,00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671 600,00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местным бюджета на управление дорожным фондом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местныхинициативах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7200070240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7200070240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3 623 600,00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3 623 600,00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2 151 700,00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1 040 800,00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1 040 800,00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96280,00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96280,00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Иные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непрограмные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96280,00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320" w:type="dxa"/>
        <w:tblInd w:w="108" w:type="dxa"/>
        <w:tblLook w:val="04A0" w:firstRow="1" w:lastRow="0" w:firstColumn="1" w:lastColumn="0" w:noHBand="0" w:noVBand="1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к решению сессии Совета депутатов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"О бюджете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на 2022 год и плановый период 2023 и 2024 годов"</w:t>
            </w: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930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6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22"/>
        </w:trPr>
        <w:tc>
          <w:tcPr>
            <w:tcW w:w="15320" w:type="dxa"/>
            <w:gridSpan w:val="8"/>
            <w:vMerge w:val="restart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6162CE" w:rsidRPr="006162CE" w:rsidTr="006162CE">
        <w:trPr>
          <w:trHeight w:val="322"/>
        </w:trPr>
        <w:tc>
          <w:tcPr>
            <w:tcW w:w="0" w:type="auto"/>
            <w:gridSpan w:val="8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585"/>
        </w:trPr>
        <w:tc>
          <w:tcPr>
            <w:tcW w:w="0" w:type="auto"/>
            <w:gridSpan w:val="8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0" w:type="dxa"/>
            <w:gridSpan w:val="3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6162CE" w:rsidRPr="006162CE" w:rsidTr="006162CE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2022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2024 год</w:t>
            </w:r>
          </w:p>
        </w:tc>
      </w:tr>
      <w:tr w:rsidR="006162CE" w:rsidRPr="006162CE" w:rsidTr="006162CE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880" w:type="dxa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162CE" w:rsidRPr="006162CE" w:rsidTr="006162C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10466600,00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3 981 700,00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3 563 800,00</w:t>
            </w:r>
          </w:p>
        </w:tc>
      </w:tr>
      <w:tr w:rsidR="006162CE" w:rsidRPr="006162CE" w:rsidTr="006162C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3 847 900,00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3 214 200,00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2 757 500,00</w:t>
            </w:r>
          </w:p>
        </w:tc>
      </w:tr>
      <w:tr w:rsidR="006162CE" w:rsidRPr="006162CE" w:rsidTr="006162CE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1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8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3 077 786,00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2 370 210,00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1 823 015,00</w:t>
            </w:r>
          </w:p>
        </w:tc>
      </w:tr>
      <w:tr w:rsidR="006162CE" w:rsidRPr="006162CE" w:rsidTr="006162CE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1 312 276,00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2 370 110,00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1 822 915,00</w:t>
            </w:r>
          </w:p>
        </w:tc>
      </w:tr>
      <w:tr w:rsidR="006162CE" w:rsidRPr="006162CE" w:rsidTr="006162CE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8800000190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498 276,00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2 370 110,00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1 822 915,00</w:t>
            </w:r>
          </w:p>
        </w:tc>
      </w:tr>
      <w:tr w:rsidR="006162CE" w:rsidRPr="006162CE" w:rsidTr="006162CE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498 276,00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2 370 110,00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1 822 915,00</w:t>
            </w:r>
          </w:p>
        </w:tc>
      </w:tr>
      <w:tr w:rsidR="006162CE" w:rsidRPr="006162CE" w:rsidTr="006162CE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685 300,00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Новосибирской области на 2014-2019 годы"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1 765 410,00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1 605 410,00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1 605 410,00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684 500,00</w:t>
            </w:r>
          </w:p>
        </w:tc>
      </w:tr>
      <w:tr w:rsidR="006162CE" w:rsidRPr="006162CE" w:rsidTr="006162CE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1 889 300,00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649 900,00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684 500,00</w:t>
            </w:r>
          </w:p>
        </w:tc>
      </w:tr>
      <w:tr w:rsidR="006162CE" w:rsidRPr="006162CE" w:rsidTr="006162CE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1 876 400,00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671 600,00</w:t>
            </w:r>
          </w:p>
        </w:tc>
      </w:tr>
      <w:tr w:rsidR="006162CE" w:rsidRPr="006162CE" w:rsidTr="006162C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1 876 400,00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671 600,00</w:t>
            </w:r>
          </w:p>
        </w:tc>
      </w:tr>
      <w:tr w:rsidR="006162CE" w:rsidRPr="006162CE" w:rsidTr="006162C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1 876 400,00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671 600,00</w:t>
            </w:r>
          </w:p>
        </w:tc>
      </w:tr>
      <w:tr w:rsidR="006162CE" w:rsidRPr="006162CE" w:rsidTr="006162CE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местным бюджета на управление дорожным фондом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местныхинициативах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3 623 600,00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15 645,00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3 623 600,00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15 645,00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2 151 700,00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1 973 700,00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1 471 900,00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15 645,00</w:t>
            </w:r>
          </w:p>
        </w:tc>
      </w:tr>
      <w:tr w:rsidR="006162CE" w:rsidRPr="006162CE" w:rsidTr="006162CE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15 645,00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15 645,00</w:t>
            </w:r>
          </w:p>
        </w:tc>
      </w:tr>
      <w:tr w:rsidR="006162CE" w:rsidRPr="006162CE" w:rsidTr="006162C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1 040 800,00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  <w:tr w:rsidR="006162CE" w:rsidRPr="006162CE" w:rsidTr="006162CE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  <w:tr w:rsidR="006162CE" w:rsidRPr="006162CE" w:rsidTr="006162CE">
        <w:trPr>
          <w:trHeight w:val="2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Иные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непрограмные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pPr w:leftFromText="180" w:rightFromText="180" w:horzAnchor="page" w:tblpX="1" w:tblpY="-1425"/>
        <w:tblW w:w="28032" w:type="dxa"/>
        <w:tblLook w:val="04A0" w:firstRow="1" w:lastRow="0" w:firstColumn="1" w:lastColumn="0" w:noHBand="0" w:noVBand="1"/>
      </w:tblPr>
      <w:tblGrid>
        <w:gridCol w:w="3582"/>
        <w:gridCol w:w="955"/>
        <w:gridCol w:w="992"/>
        <w:gridCol w:w="850"/>
        <w:gridCol w:w="1416"/>
        <w:gridCol w:w="1136"/>
        <w:gridCol w:w="1701"/>
        <w:gridCol w:w="8700"/>
        <w:gridCol w:w="8700"/>
      </w:tblGrid>
      <w:tr w:rsidR="006162CE" w:rsidRPr="006162CE" w:rsidTr="006162CE">
        <w:trPr>
          <w:trHeight w:val="255"/>
        </w:trPr>
        <w:tc>
          <w:tcPr>
            <w:tcW w:w="3582" w:type="dxa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00" w:type="dxa"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0" w:type="dxa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4                                                                                     к решению сессии Совета депутатов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"О бюджете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на  2022 год и плановый период 2023 и 2024 годов"</w:t>
            </w:r>
          </w:p>
        </w:tc>
      </w:tr>
    </w:tbl>
    <w:p w:rsidR="006162CE" w:rsidRPr="006162CE" w:rsidRDefault="006162CE" w:rsidP="006162CE">
      <w:pPr>
        <w:spacing w:after="0"/>
        <w:rPr>
          <w:rFonts w:ascii="Times New Roman" w:hAnsi="Times New Roman"/>
          <w:vanish/>
          <w:color w:val="000000"/>
          <w:sz w:val="28"/>
          <w:szCs w:val="28"/>
        </w:rPr>
      </w:pPr>
    </w:p>
    <w:tbl>
      <w:tblPr>
        <w:tblW w:w="6587" w:type="pct"/>
        <w:tblLook w:val="04A0" w:firstRow="1" w:lastRow="0" w:firstColumn="1" w:lastColumn="0" w:noHBand="0" w:noVBand="1"/>
      </w:tblPr>
      <w:tblGrid>
        <w:gridCol w:w="5554"/>
        <w:gridCol w:w="1094"/>
        <w:gridCol w:w="672"/>
        <w:gridCol w:w="703"/>
        <w:gridCol w:w="1981"/>
        <w:gridCol w:w="887"/>
        <w:gridCol w:w="2065"/>
        <w:gridCol w:w="2488"/>
        <w:gridCol w:w="3751"/>
      </w:tblGrid>
      <w:tr w:rsidR="006162CE" w:rsidRPr="006162CE" w:rsidTr="006162CE">
        <w:trPr>
          <w:trHeight w:val="255"/>
          <w:hidden/>
        </w:trPr>
        <w:tc>
          <w:tcPr>
            <w:tcW w:w="1447" w:type="pct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pct"/>
            <w:gridSpan w:val="2"/>
            <w:vMerge w:val="restart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4                                                                                     к решению сессии Совета депутатов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"О бюджете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на  2022 год и плановый период 2023 и 2024 годов"</w:t>
            </w:r>
          </w:p>
        </w:tc>
      </w:tr>
      <w:tr w:rsidR="006162CE" w:rsidRPr="006162CE" w:rsidTr="006162CE">
        <w:trPr>
          <w:trHeight w:val="255"/>
        </w:trPr>
        <w:tc>
          <w:tcPr>
            <w:tcW w:w="1447" w:type="pct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55"/>
        </w:trPr>
        <w:tc>
          <w:tcPr>
            <w:tcW w:w="144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650"/>
        </w:trPr>
        <w:tc>
          <w:tcPr>
            <w:tcW w:w="144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50"/>
        </w:trPr>
        <w:tc>
          <w:tcPr>
            <w:tcW w:w="144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855"/>
        </w:trPr>
        <w:tc>
          <w:tcPr>
            <w:tcW w:w="5000" w:type="pct"/>
            <w:gridSpan w:val="9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Pr="006162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62CE" w:rsidRPr="006162CE" w:rsidRDefault="006162CE">
            <w:pPr>
              <w:tabs>
                <w:tab w:val="left" w:pos="1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2023 год и плановый период 2023 и 2024 годов</w:t>
            </w:r>
          </w:p>
        </w:tc>
      </w:tr>
      <w:tr w:rsidR="006162CE" w:rsidRPr="006162CE" w:rsidTr="006162CE">
        <w:trPr>
          <w:trHeight w:val="90"/>
        </w:trPr>
        <w:tc>
          <w:tcPr>
            <w:tcW w:w="1447" w:type="pct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75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2022 год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2023 год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2024  год</w:t>
            </w:r>
          </w:p>
        </w:tc>
      </w:tr>
      <w:tr w:rsidR="006162CE" w:rsidRPr="006162CE" w:rsidTr="006162C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162CE" w:rsidRPr="006162CE" w:rsidTr="006162CE">
        <w:trPr>
          <w:trHeight w:val="525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10466600,00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3 981 700,00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3 563 800,00</w:t>
            </w:r>
          </w:p>
        </w:tc>
      </w:tr>
      <w:tr w:rsidR="006162CE" w:rsidRPr="006162CE" w:rsidTr="006162CE">
        <w:trPr>
          <w:trHeight w:val="30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3 874 900,00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3 214 200,00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2 757 500,00</w:t>
            </w:r>
          </w:p>
        </w:tc>
      </w:tr>
      <w:tr w:rsidR="006162CE" w:rsidRPr="006162CE" w:rsidTr="006162CE">
        <w:trPr>
          <w:trHeight w:val="87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189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8800001110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175 724,00</w:t>
            </w: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769 114,00</w:t>
            </w:r>
          </w:p>
        </w:tc>
      </w:tr>
      <w:tr w:rsidR="006162CE" w:rsidRPr="006162CE" w:rsidTr="006162CE">
        <w:trPr>
          <w:trHeight w:val="220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89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593 390,00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57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3 077 786,00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2 370 210,00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1 823 015,00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3 312 276,00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2 370 110,00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1 822 915,00</w:t>
            </w:r>
          </w:p>
        </w:tc>
      </w:tr>
      <w:tr w:rsidR="006162CE" w:rsidRPr="006162CE" w:rsidTr="006162CE">
        <w:trPr>
          <w:trHeight w:val="189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498 276,00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2 370 110,00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1 822 915,00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468 276,00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498 276,00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2 370 110,00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1 822 915,00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685 300,00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685 300,00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128 700,00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128 700,00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26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162CE" w:rsidRPr="006162CE" w:rsidTr="006162CE">
        <w:trPr>
          <w:trHeight w:val="220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1 765 410,00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89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1 605 410,00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1 605 410,00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160 000,00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160 000,00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8800000600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189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117 600,00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106 400,00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113 800,00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121 800,00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7 400,00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7 400,00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1 889 300,00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649 900,00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684 500,00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1 876 400,00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637 000,00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671 600,00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7000000530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1 876 400,00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637 000,00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671 600,00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Субсидии местным бюджета на управление дорожным фондом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8800070320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12 900,00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местныхинициативах</w:t>
            </w:r>
            <w:proofErr w:type="spellEnd"/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7200070240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7200070240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742000,00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3 623 600,00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3 623 600,00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2 151 700,00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189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1 973 700,00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1 973 700,00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0800070510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Дома культуры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1 471 900,00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189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390 600,00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390 600,00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15645,00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1 040 800,00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9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1 040 800,00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7300000100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30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645"/>
        </w:trPr>
        <w:tc>
          <w:tcPr>
            <w:tcW w:w="14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250000,00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96 280,00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  <w:tr w:rsidR="006162CE" w:rsidRPr="006162CE" w:rsidTr="006162CE">
        <w:trPr>
          <w:trHeight w:val="315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96 280,00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  <w:tr w:rsidR="006162CE" w:rsidRPr="006162CE" w:rsidTr="006162CE">
        <w:trPr>
          <w:trHeight w:val="33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Иные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непрограмные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96 280,00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171 450,00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1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483"/>
        <w:gridCol w:w="650"/>
        <w:gridCol w:w="555"/>
        <w:gridCol w:w="612"/>
        <w:gridCol w:w="1825"/>
        <w:gridCol w:w="992"/>
        <w:gridCol w:w="2267"/>
        <w:gridCol w:w="1983"/>
        <w:gridCol w:w="3543"/>
      </w:tblGrid>
      <w:tr w:rsidR="006162CE" w:rsidRPr="006162CE" w:rsidTr="006162CE">
        <w:trPr>
          <w:trHeight w:val="475"/>
        </w:trPr>
        <w:tc>
          <w:tcPr>
            <w:tcW w:w="248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6162CE" w:rsidRPr="006162CE" w:rsidTr="006162CE">
        <w:trPr>
          <w:trHeight w:val="1488"/>
        </w:trPr>
        <w:tc>
          <w:tcPr>
            <w:tcW w:w="248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решению сессии Совета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"О бюджете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на 2022 год                                                                                        и плановый период 2023 и 2024годов"</w:t>
            </w:r>
          </w:p>
        </w:tc>
      </w:tr>
      <w:tr w:rsidR="006162CE" w:rsidRPr="006162CE" w:rsidTr="006162CE">
        <w:trPr>
          <w:trHeight w:val="950"/>
        </w:trPr>
        <w:tc>
          <w:tcPr>
            <w:tcW w:w="14914" w:type="dxa"/>
            <w:gridSpan w:val="9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Pr="006162C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6162CE" w:rsidRPr="006162CE" w:rsidTr="006162CE">
        <w:trPr>
          <w:trHeight w:val="262"/>
        </w:trPr>
        <w:tc>
          <w:tcPr>
            <w:tcW w:w="248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62"/>
        </w:trPr>
        <w:tc>
          <w:tcPr>
            <w:tcW w:w="248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1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Сумма(в рублях)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62"/>
        </w:trPr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6162CE" w:rsidRPr="006162CE" w:rsidTr="006162CE">
        <w:trPr>
          <w:trHeight w:val="374"/>
        </w:trPr>
        <w:tc>
          <w:tcPr>
            <w:tcW w:w="2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374"/>
        </w:trPr>
        <w:tc>
          <w:tcPr>
            <w:tcW w:w="24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6800000410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262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1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10"/>
        <w:gridCol w:w="6661"/>
        <w:gridCol w:w="1536"/>
        <w:gridCol w:w="2193"/>
        <w:gridCol w:w="4110"/>
      </w:tblGrid>
      <w:tr w:rsidR="006162CE" w:rsidRPr="006162CE" w:rsidTr="006162CE">
        <w:trPr>
          <w:trHeight w:val="257"/>
        </w:trPr>
        <w:tc>
          <w:tcPr>
            <w:tcW w:w="41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6162CE" w:rsidRPr="006162CE" w:rsidTr="006162CE">
        <w:trPr>
          <w:trHeight w:val="1502"/>
        </w:trPr>
        <w:tc>
          <w:tcPr>
            <w:tcW w:w="41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1" w:type="dxa"/>
            <w:gridSpan w:val="3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решению сессии Совета депутатов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Чистозерного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 "О бюджете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на 2022 год  и плановый период 2023 и 2024 годов"</w:t>
            </w:r>
          </w:p>
        </w:tc>
      </w:tr>
      <w:tr w:rsidR="006162CE" w:rsidRPr="006162CE" w:rsidTr="006162CE">
        <w:trPr>
          <w:trHeight w:val="329"/>
        </w:trPr>
        <w:tc>
          <w:tcPr>
            <w:tcW w:w="41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720"/>
        </w:trPr>
        <w:tc>
          <w:tcPr>
            <w:tcW w:w="14914" w:type="dxa"/>
            <w:gridSpan w:val="5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бюджета </w:t>
            </w:r>
            <w:proofErr w:type="spellStart"/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Pr="006162C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 бюджет других</w:t>
            </w: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бюджетов бюджетной системы Российской Федерации на 2022 год и плановый период 2023 и 2024 годов </w:t>
            </w:r>
          </w:p>
        </w:tc>
      </w:tr>
      <w:tr w:rsidR="006162CE" w:rsidRPr="006162CE" w:rsidTr="006162CE">
        <w:trPr>
          <w:trHeight w:val="451"/>
        </w:trPr>
        <w:tc>
          <w:tcPr>
            <w:tcW w:w="410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53"/>
        </w:trPr>
        <w:tc>
          <w:tcPr>
            <w:tcW w:w="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рублях</w:t>
            </w:r>
          </w:p>
        </w:tc>
      </w:tr>
      <w:tr w:rsidR="006162CE" w:rsidRPr="006162CE" w:rsidTr="006162CE">
        <w:trPr>
          <w:trHeight w:val="90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 на 2022 год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 на 2023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 на 2024 год</w:t>
            </w:r>
          </w:p>
        </w:tc>
      </w:tr>
      <w:tr w:rsidR="006162CE" w:rsidRPr="006162CE" w:rsidTr="006162CE">
        <w:trPr>
          <w:trHeight w:val="22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162CE" w:rsidRPr="006162CE" w:rsidTr="006162CE">
        <w:trPr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162CE" w:rsidRPr="006162CE" w:rsidTr="006162CE">
        <w:trPr>
          <w:trHeight w:val="25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775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873"/>
        <w:gridCol w:w="4679"/>
        <w:gridCol w:w="2978"/>
        <w:gridCol w:w="2126"/>
        <w:gridCol w:w="3119"/>
      </w:tblGrid>
      <w:tr w:rsidR="006162CE" w:rsidRPr="006162CE" w:rsidTr="006162CE">
        <w:trPr>
          <w:trHeight w:val="194"/>
        </w:trPr>
        <w:tc>
          <w:tcPr>
            <w:tcW w:w="187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</w:p>
        </w:tc>
      </w:tr>
      <w:tr w:rsidR="006162CE" w:rsidRPr="006162CE" w:rsidTr="006162CE">
        <w:trPr>
          <w:trHeight w:val="1210"/>
        </w:trPr>
        <w:tc>
          <w:tcPr>
            <w:tcW w:w="187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2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решению сессии Совета депутатов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"О бюджете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Чистозерного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на 2022 год                                                                                         и плановый период 2023 и 2024 годов"</w:t>
            </w:r>
          </w:p>
        </w:tc>
      </w:tr>
      <w:tr w:rsidR="006162CE" w:rsidRPr="006162CE" w:rsidTr="006162CE">
        <w:trPr>
          <w:trHeight w:val="828"/>
        </w:trPr>
        <w:tc>
          <w:tcPr>
            <w:tcW w:w="187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58"/>
        </w:trPr>
        <w:tc>
          <w:tcPr>
            <w:tcW w:w="14772" w:type="dxa"/>
            <w:gridSpan w:val="5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</w:t>
            </w:r>
            <w:r w:rsidRPr="00616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2022 год и плановый период 2023 и 2024 годов</w:t>
            </w:r>
          </w:p>
        </w:tc>
      </w:tr>
      <w:tr w:rsidR="006162CE" w:rsidRPr="006162CE" w:rsidTr="006162CE">
        <w:trPr>
          <w:trHeight w:val="269"/>
        </w:trPr>
        <w:tc>
          <w:tcPr>
            <w:tcW w:w="187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33"/>
        </w:trPr>
        <w:tc>
          <w:tcPr>
            <w:tcW w:w="187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94"/>
        </w:trPr>
        <w:tc>
          <w:tcPr>
            <w:tcW w:w="1873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6162CE" w:rsidRPr="006162CE" w:rsidTr="006162CE">
        <w:trPr>
          <w:trHeight w:val="6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кода группы, подгруппы, статьи, вида источника финансирования дефицитов </w:t>
            </w: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сумма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65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55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78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36"/>
        </w:trPr>
        <w:tc>
          <w:tcPr>
            <w:tcW w:w="1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967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6162CE" w:rsidRPr="006162CE" w:rsidTr="006162CE">
        <w:trPr>
          <w:trHeight w:val="19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01 02 00 00 00 0000 000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01 02 00 00 00 0000 700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01 02 00 00 10 0000 710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01 02 00 00 00 0000 800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01 02 00 00 10 0000 810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01 03 00 00 00 0000 700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01 03 00 00 10 0000 710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01 03 00 00 00 0000 800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58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01 03 00 00 10 0000 810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01 05 00 00 00 0000 000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01 05 00 00 00 0000 500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3 563 800,00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3 563 800,00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3 563 800,00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3 563 800,00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-3 563 800,00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-3 563 800,00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01 05 02 01 00 0000 610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-3 563 800,00</w:t>
            </w:r>
          </w:p>
        </w:tc>
      </w:tr>
      <w:tr w:rsidR="006162CE" w:rsidRPr="006162CE" w:rsidTr="006162CE">
        <w:trPr>
          <w:trHeight w:val="39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01 05 02 01 10 0000 610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-10466600,00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-3 981 700,00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-3 563 800,00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67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26"/>
        <w:gridCol w:w="2683"/>
        <w:gridCol w:w="1800"/>
        <w:gridCol w:w="2461"/>
        <w:gridCol w:w="1812"/>
        <w:gridCol w:w="1808"/>
        <w:gridCol w:w="32"/>
        <w:gridCol w:w="1955"/>
        <w:gridCol w:w="6706"/>
      </w:tblGrid>
      <w:tr w:rsidR="006162CE" w:rsidRPr="006162CE" w:rsidTr="006162CE">
        <w:trPr>
          <w:trHeight w:val="315"/>
        </w:trPr>
        <w:tc>
          <w:tcPr>
            <w:tcW w:w="1888" w:type="pct"/>
            <w:gridSpan w:val="4"/>
            <w:noWrap/>
            <w:vAlign w:val="center"/>
            <w:hideMark/>
          </w:tcPr>
          <w:p w:rsidR="006162CE" w:rsidRPr="006162CE" w:rsidRDefault="006162C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RANGE!A1:H13"/>
            <w:bookmarkEnd w:id="0"/>
          </w:p>
        </w:tc>
        <w:tc>
          <w:tcPr>
            <w:tcW w:w="45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pct"/>
            <w:gridSpan w:val="3"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6162CE" w:rsidRPr="006162CE" w:rsidTr="006162CE">
        <w:trPr>
          <w:trHeight w:val="2325"/>
        </w:trPr>
        <w:tc>
          <w:tcPr>
            <w:tcW w:w="133" w:type="pct"/>
            <w:noWrap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pct"/>
            <w:gridSpan w:val="4"/>
            <w:vAlign w:val="bottom"/>
            <w:hideMark/>
          </w:tcPr>
          <w:p w:rsidR="006162CE" w:rsidRPr="006162CE" w:rsidRDefault="006162CE" w:rsidP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 сессии Совета депутатов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Чистозерного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"О бюджете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Чистозерного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на 2022 год                                                                                         и плановый период 2023 и 2024 годов"</w:t>
            </w:r>
          </w:p>
        </w:tc>
      </w:tr>
      <w:tr w:rsidR="006162CE" w:rsidRPr="006162CE" w:rsidTr="006162CE">
        <w:trPr>
          <w:trHeight w:val="315"/>
        </w:trPr>
        <w:tc>
          <w:tcPr>
            <w:tcW w:w="133" w:type="pct"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" w:type="pct"/>
            <w:gridSpan w:val="2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705"/>
        </w:trPr>
        <w:tc>
          <w:tcPr>
            <w:tcW w:w="5000" w:type="pct"/>
            <w:gridSpan w:val="9"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Чистозерного</w:t>
            </w:r>
            <w:proofErr w:type="spellEnd"/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 на 2022 год и плановый период 2023 и 2024 годов</w:t>
            </w:r>
          </w:p>
        </w:tc>
      </w:tr>
      <w:tr w:rsidR="006162CE" w:rsidRPr="006162CE" w:rsidTr="006162CE">
        <w:trPr>
          <w:trHeight w:val="315"/>
        </w:trPr>
        <w:tc>
          <w:tcPr>
            <w:tcW w:w="133" w:type="pct"/>
            <w:vAlign w:val="bottom"/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" w:type="pct"/>
            <w:gridSpan w:val="2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pct"/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рублях</w:t>
            </w:r>
          </w:p>
        </w:tc>
      </w:tr>
      <w:tr w:rsidR="006162CE" w:rsidRPr="006162CE" w:rsidTr="006162CE">
        <w:trPr>
          <w:trHeight w:val="315"/>
        </w:trPr>
        <w:tc>
          <w:tcPr>
            <w:tcW w:w="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6162CE" w:rsidRPr="006162CE" w:rsidTr="006162CE">
        <w:trPr>
          <w:trHeight w:val="1575"/>
        </w:trPr>
        <w:tc>
          <w:tcPr>
            <w:tcW w:w="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привлечения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привлечения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привлечения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средств, направляемых на погашение</w:t>
            </w:r>
          </w:p>
        </w:tc>
      </w:tr>
      <w:tr w:rsidR="006162CE" w:rsidRPr="006162CE" w:rsidTr="006162CE">
        <w:trPr>
          <w:trHeight w:val="322"/>
        </w:trPr>
        <w:tc>
          <w:tcPr>
            <w:tcW w:w="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Муниципальные внутренние заимствования,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62CE" w:rsidRPr="006162CE" w:rsidTr="006162CE">
        <w:trPr>
          <w:trHeight w:val="322"/>
        </w:trPr>
        <w:tc>
          <w:tcPr>
            <w:tcW w:w="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90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" w:type="pct"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Муниципальные ценные бумаги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Чистозерного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62CE" w:rsidRPr="006162CE" w:rsidTr="006162CE">
        <w:trPr>
          <w:trHeight w:val="117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62CE" w:rsidRPr="006162CE" w:rsidTr="006162CE">
        <w:trPr>
          <w:trHeight w:val="6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162CE" w:rsidRPr="006162CE" w:rsidTr="006162CE">
        <w:trPr>
          <w:trHeight w:val="43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Приложение 9   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к решению сессии Совета депутатов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"О бюджете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Чистоозерного района Новосибирской области”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на 2022 год и плановый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>период 2023 и 2024 годов"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162CE">
        <w:rPr>
          <w:rFonts w:ascii="Times New Roman" w:hAnsi="Times New Roman"/>
          <w:bCs/>
          <w:color w:val="000000"/>
          <w:sz w:val="28"/>
          <w:szCs w:val="28"/>
        </w:rPr>
        <w:t>ПРОГРАММА МУНИЦИПАЛЬНЫХ ГАРАНТИЙ НОВОКУЛЫНДИНСКОГО СЕЛЬСОВЕТА ЧИСТООЗЕРНОГО РАЙОНА НОВОСИБИРСКОЙ ОБЛАСТИ В ВАЛЮТЕ РОССИЙСКОЙ ФЕДЕРАЦИИ НА 2022 ГОД И ПЛАНОВЫЙ ПЕРИОД 2023 И 2024 ГОДОВ</w:t>
      </w: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hAnsi="Times New Roman"/>
          <w:color w:val="000000"/>
          <w:sz w:val="28"/>
          <w:szCs w:val="28"/>
        </w:rPr>
        <w:t xml:space="preserve">Раздел1. Перечень подлежащих предоставлению муниципальных гарантий муниципального образования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 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в 2022 </w:t>
      </w:r>
      <w:r w:rsidRPr="006162CE">
        <w:rPr>
          <w:rFonts w:ascii="Times New Roman" w:hAnsi="Times New Roman"/>
          <w:color w:val="000000"/>
          <w:sz w:val="28"/>
          <w:szCs w:val="28"/>
        </w:rPr>
        <w:t>году и в плановом периоде 2023-2024 годов</w:t>
      </w:r>
    </w:p>
    <w:tbl>
      <w:tblPr>
        <w:tblW w:w="14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1122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6162CE" w:rsidRPr="006162CE" w:rsidTr="006162CE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</w:t>
            </w: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6162CE" w:rsidRPr="006162CE" w:rsidTr="006162CE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Иные условия</w:t>
            </w:r>
          </w:p>
        </w:tc>
      </w:tr>
      <w:tr w:rsidR="006162CE" w:rsidRPr="006162CE" w:rsidTr="006162CE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62CE" w:rsidRPr="006162CE" w:rsidTr="006162CE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162CE" w:rsidRPr="006162CE" w:rsidTr="006162CE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62CE" w:rsidRPr="006162CE" w:rsidRDefault="006162CE" w:rsidP="00616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62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6162CE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proofErr w:type="spellStart"/>
      <w:r w:rsidRPr="006162CE">
        <w:rPr>
          <w:rFonts w:ascii="Times New Roman" w:hAnsi="Times New Roman"/>
          <w:color w:val="000000"/>
          <w:sz w:val="28"/>
          <w:szCs w:val="28"/>
        </w:rPr>
        <w:t>Новокулындинского</w:t>
      </w:r>
      <w:proofErr w:type="spellEnd"/>
      <w:r w:rsidRPr="006162CE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162CE">
        <w:rPr>
          <w:rFonts w:ascii="Times New Roman" w:hAnsi="Times New Roman"/>
          <w:color w:val="000000"/>
          <w:sz w:val="28"/>
          <w:szCs w:val="28"/>
        </w:rPr>
        <w:t>по возможным гарантийным случаям в</w:t>
      </w:r>
      <w:r w:rsidRPr="006162CE">
        <w:rPr>
          <w:rFonts w:ascii="Times New Roman" w:hAnsi="Times New Roman"/>
          <w:i/>
          <w:color w:val="000000"/>
          <w:sz w:val="28"/>
          <w:szCs w:val="28"/>
        </w:rPr>
        <w:t xml:space="preserve"> 2022 </w:t>
      </w:r>
      <w:r w:rsidRPr="006162CE">
        <w:rPr>
          <w:rFonts w:ascii="Times New Roman" w:hAnsi="Times New Roman"/>
          <w:color w:val="000000"/>
          <w:sz w:val="28"/>
          <w:szCs w:val="28"/>
        </w:rPr>
        <w:t>году и в плановом периоде2023-2024годов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6162CE" w:rsidRPr="006162CE" w:rsidTr="006162CE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Объем, рублей</w:t>
            </w:r>
          </w:p>
        </w:tc>
      </w:tr>
      <w:tr w:rsidR="006162CE" w:rsidRPr="006162CE" w:rsidTr="006162CE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CE" w:rsidRPr="006162CE" w:rsidRDefault="00616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6162CE" w:rsidRPr="006162CE" w:rsidTr="006162CE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162CE" w:rsidRPr="006162CE" w:rsidTr="006162CE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CE" w:rsidRPr="006162CE" w:rsidRDefault="006162C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 счет источников финансирования дефицита бюджета </w:t>
            </w:r>
            <w:proofErr w:type="spellStart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Pr="006162C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6162C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62CE" w:rsidRPr="006162CE" w:rsidRDefault="006162C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162CE" w:rsidRPr="006162CE" w:rsidRDefault="006162CE" w:rsidP="006162C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62CE" w:rsidRPr="006162CE" w:rsidRDefault="006162CE" w:rsidP="006162C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6505" w:type="pct"/>
        <w:tblInd w:w="-1134" w:type="dxa"/>
        <w:tblLook w:val="04A0" w:firstRow="1" w:lastRow="0" w:firstColumn="1" w:lastColumn="0" w:noHBand="0" w:noVBand="1"/>
      </w:tblPr>
      <w:tblGrid>
        <w:gridCol w:w="318"/>
        <w:gridCol w:w="1024"/>
        <w:gridCol w:w="3621"/>
        <w:gridCol w:w="2267"/>
        <w:gridCol w:w="3545"/>
        <w:gridCol w:w="8181"/>
      </w:tblGrid>
      <w:tr w:rsidR="006162CE" w:rsidRPr="006162CE" w:rsidTr="006162CE">
        <w:trPr>
          <w:trHeight w:val="233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10</w:t>
            </w:r>
          </w:p>
        </w:tc>
      </w:tr>
      <w:tr w:rsidR="006162CE" w:rsidRPr="006162CE" w:rsidTr="006162CE">
        <w:trPr>
          <w:trHeight w:val="110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505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3" w:type="pct"/>
            <w:gridSpan w:val="2"/>
            <w:hideMark/>
          </w:tcPr>
          <w:p w:rsidR="006162CE" w:rsidRPr="006162CE" w:rsidRDefault="006162CE" w:rsidP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решению сессии Совета депутатов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 "О бюджете </w:t>
            </w:r>
            <w:proofErr w:type="spellStart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 на 2022 год  и  плановый период 2023 и 2024 годов"</w:t>
            </w:r>
          </w:p>
        </w:tc>
      </w:tr>
      <w:tr w:rsidR="006162CE" w:rsidRPr="006162CE" w:rsidTr="006162CE">
        <w:trPr>
          <w:trHeight w:val="823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6" w:type="pct"/>
            <w:gridSpan w:val="4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муниципальных  программ </w:t>
            </w:r>
            <w:proofErr w:type="spellStart"/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Новокулындинского</w:t>
            </w:r>
            <w:proofErr w:type="spellEnd"/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области, предусмотренных к финансированию в 2022 году и плановом периоде 2023 и 2024 годов</w:t>
            </w:r>
          </w:p>
        </w:tc>
      </w:tr>
      <w:tr w:rsidR="006162CE" w:rsidRPr="006162CE" w:rsidTr="006162CE">
        <w:trPr>
          <w:trHeight w:val="173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6162CE" w:rsidRPr="006162CE" w:rsidTr="006162CE">
        <w:trPr>
          <w:trHeight w:val="254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2022 год</w:t>
            </w:r>
          </w:p>
        </w:tc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на 2024 год</w:t>
            </w:r>
          </w:p>
        </w:tc>
      </w:tr>
      <w:tr w:rsidR="006162CE" w:rsidRPr="006162CE" w:rsidTr="006162CE">
        <w:trPr>
          <w:trHeight w:val="245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204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162CE" w:rsidRPr="006162CE" w:rsidTr="006162CE">
        <w:trPr>
          <w:trHeight w:val="396"/>
        </w:trPr>
        <w:tc>
          <w:tcPr>
            <w:tcW w:w="8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173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62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162CE" w:rsidRPr="006162CE" w:rsidTr="006162CE">
        <w:trPr>
          <w:trHeight w:val="173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73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62CE" w:rsidRPr="006162CE" w:rsidTr="006162CE">
        <w:trPr>
          <w:trHeight w:val="173"/>
        </w:trPr>
        <w:tc>
          <w:tcPr>
            <w:tcW w:w="84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pct"/>
          </w:tcPr>
          <w:p w:rsidR="006162CE" w:rsidRPr="006162CE" w:rsidRDefault="006162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62CE" w:rsidRDefault="006162CE" w:rsidP="006162CE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43BCC" w:rsidRDefault="00D43BCC"/>
    <w:sectPr w:rsidR="00D43BCC" w:rsidSect="00616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D4"/>
    <w:rsid w:val="003B64D4"/>
    <w:rsid w:val="006162CE"/>
    <w:rsid w:val="00D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4D2C"/>
  <w15:chartTrackingRefBased/>
  <w15:docId w15:val="{3C5BC5B0-7C0B-4CD1-988D-E57F255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62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2C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616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16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6162CE"/>
    <w:pPr>
      <w:spacing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62CE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1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62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1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62CE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6162C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162C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6162C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62C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6162CE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6162C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162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62C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6162C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Revision"/>
    <w:uiPriority w:val="99"/>
    <w:semiHidden/>
    <w:rsid w:val="006162CE"/>
    <w:pPr>
      <w:spacing w:after="0" w:line="240" w:lineRule="auto"/>
    </w:pPr>
    <w:rPr>
      <w:rFonts w:ascii="Calibri" w:eastAsia="Calibri" w:hAnsi="Calibri" w:cs="Calibri"/>
    </w:rPr>
  </w:style>
  <w:style w:type="paragraph" w:styleId="af4">
    <w:name w:val="List Paragraph"/>
    <w:basedOn w:val="a"/>
    <w:uiPriority w:val="99"/>
    <w:qFormat/>
    <w:rsid w:val="006162CE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6162C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semiHidden/>
    <w:rsid w:val="006162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6162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annotation reference"/>
    <w:uiPriority w:val="99"/>
    <w:semiHidden/>
    <w:unhideWhenUsed/>
    <w:rsid w:val="006162CE"/>
    <w:rPr>
      <w:sz w:val="16"/>
      <w:szCs w:val="16"/>
    </w:rPr>
  </w:style>
  <w:style w:type="character" w:customStyle="1" w:styleId="1">
    <w:name w:val="Текст примечания Знак1"/>
    <w:basedOn w:val="a0"/>
    <w:uiPriority w:val="99"/>
    <w:semiHidden/>
    <w:rsid w:val="006162CE"/>
    <w:rPr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6162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BDC3C8B0B7ECFD6D4A86369585600A1F6C100D228D38F050F9CB19B7D3F96C599F79C3F6327B19A9BAB575i0D" TargetMode="External"/><Relationship Id="rId5" Type="http://schemas.openxmlformats.org/officeDocument/2006/relationships/hyperlink" Target="file:///C:\Users\User\Downloads\&#1056;&#1077;&#1096;&#1077;&#1085;&#1080;&#1103;_&#1086;_&#1073;&#1102;&#1076;&#1078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4FC6-B4BB-4367-A24A-488B539A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8879</Words>
  <Characters>50612</Characters>
  <Application>Microsoft Office Word</Application>
  <DocSecurity>0</DocSecurity>
  <Lines>421</Lines>
  <Paragraphs>118</Paragraphs>
  <ScaleCrop>false</ScaleCrop>
  <Company/>
  <LinksUpToDate>false</LinksUpToDate>
  <CharactersWithSpaces>59373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2021-12-28T08:25:00Z</dcterms:created>
  <dcterms:modified xsi:type="dcterms:W3CDTF">2021-12-28T08:32:00Z</dcterms:modified>
</cp:coreProperties>
</file>